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24F" w:rsidRDefault="0072624F" w:rsidP="00CA4568">
      <w:pPr>
        <w:spacing w:after="0" w:line="240" w:lineRule="auto"/>
        <w:jc w:val="center"/>
        <w:rPr>
          <w:rFonts w:ascii="Times New Roman" w:eastAsia="Times New Roman" w:hAnsi="Times New Roman" w:cs="Times New Roman"/>
          <w:sz w:val="24"/>
          <w:szCs w:val="24"/>
        </w:rPr>
      </w:pPr>
    </w:p>
    <w:p w:rsidR="0072624F" w:rsidRDefault="0072624F" w:rsidP="0072624F">
      <w:pPr>
        <w:pStyle w:val="Titre"/>
        <w:jc w:val="right"/>
        <w:rPr>
          <w:sz w:val="24"/>
        </w:rPr>
      </w:pPr>
      <w:r>
        <w:rPr>
          <w:sz w:val="24"/>
        </w:rPr>
        <w:t>Q1-SPE1-32</w:t>
      </w:r>
    </w:p>
    <w:p w:rsidR="0072624F" w:rsidRDefault="0072624F" w:rsidP="0072624F">
      <w:pPr>
        <w:pStyle w:val="Titre"/>
        <w:jc w:val="right"/>
        <w:rPr>
          <w:rFonts w:ascii="Times New Roman" w:hAnsi="Times New Roman"/>
          <w:color w:val="FF0000"/>
          <w:sz w:val="16"/>
        </w:rPr>
      </w:pPr>
    </w:p>
    <w:p w:rsidR="0072624F" w:rsidRDefault="0072624F" w:rsidP="0072624F">
      <w:pPr>
        <w:pStyle w:val="Titre"/>
        <w:rPr>
          <w:rFonts w:ascii="Times New Roman" w:hAnsi="Times New Roman"/>
          <w:sz w:val="24"/>
        </w:rPr>
      </w:pPr>
    </w:p>
    <w:p w:rsidR="0072624F" w:rsidRDefault="0072624F" w:rsidP="0072624F">
      <w:pPr>
        <w:pStyle w:val="Titre"/>
        <w:rPr>
          <w:rFonts w:ascii="Times New Roman" w:hAnsi="Times New Roman"/>
          <w:sz w:val="28"/>
          <w:u w:val="single"/>
        </w:rPr>
      </w:pPr>
      <w:r>
        <w:rPr>
          <w:rFonts w:ascii="Times New Roman" w:hAnsi="Times New Roman"/>
          <w:sz w:val="28"/>
          <w:u w:val="single"/>
        </w:rPr>
        <w:t>QUESTION 1 : raisonnement à partir de documents</w:t>
      </w:r>
    </w:p>
    <w:p w:rsidR="0072624F" w:rsidRDefault="0072624F" w:rsidP="0072624F">
      <w:pPr>
        <w:pStyle w:val="Titre"/>
        <w:rPr>
          <w:rFonts w:ascii="Times New Roman" w:hAnsi="Times New Roman"/>
          <w:sz w:val="24"/>
        </w:rPr>
      </w:pPr>
      <w:r>
        <w:rPr>
          <w:rFonts w:ascii="Times New Roman" w:hAnsi="Times New Roman"/>
          <w:sz w:val="24"/>
        </w:rPr>
        <w:t>(10 points)</w:t>
      </w:r>
    </w:p>
    <w:p w:rsidR="0072624F" w:rsidRDefault="0072624F" w:rsidP="0072624F">
      <w:pPr>
        <w:pStyle w:val="Titre"/>
        <w:jc w:val="left"/>
        <w:rPr>
          <w:rFonts w:ascii="Times New Roman" w:hAnsi="Times New Roman"/>
          <w:color w:val="FF0000"/>
          <w:sz w:val="16"/>
        </w:rPr>
      </w:pPr>
    </w:p>
    <w:p w:rsidR="0072624F" w:rsidRDefault="0072624F" w:rsidP="0072624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Enseignement de spécialité :</w:t>
      </w:r>
      <w:r>
        <w:rPr>
          <w:rFonts w:ascii="Times New Roman" w:eastAsia="Times New Roman" w:hAnsi="Times New Roman" w:cs="Times New Roman"/>
          <w:sz w:val="24"/>
          <w:szCs w:val="24"/>
        </w:rPr>
        <w:t xml:space="preserve"> énergie et cellule vivante</w:t>
      </w:r>
    </w:p>
    <w:p w:rsidR="0072624F" w:rsidRDefault="0072624F" w:rsidP="0072624F">
      <w:pPr>
        <w:spacing w:after="0" w:line="240" w:lineRule="auto"/>
        <w:jc w:val="center"/>
        <w:rPr>
          <w:rFonts w:ascii="Times New Roman" w:eastAsia="Times New Roman" w:hAnsi="Times New Roman" w:cs="Times New Roman"/>
          <w:sz w:val="24"/>
          <w:szCs w:val="24"/>
        </w:rPr>
      </w:pPr>
    </w:p>
    <w:p w:rsidR="0072624F" w:rsidRDefault="0072624F" w:rsidP="0072624F">
      <w:pPr>
        <w:pStyle w:val="Titre"/>
        <w:rPr>
          <w:rFonts w:ascii="Times New Roman" w:hAnsi="Times New Roman"/>
          <w:sz w:val="24"/>
        </w:rPr>
      </w:pPr>
      <w:r>
        <w:rPr>
          <w:rFonts w:ascii="Times New Roman" w:hAnsi="Times New Roman"/>
          <w:sz w:val="24"/>
          <w:szCs w:val="24"/>
          <w:lang w:eastAsia="fr-FR"/>
        </w:rPr>
        <w:t>Thème : photosynthèse : de l’énergie lumineuse à l’énergie chimique</w:t>
      </w:r>
    </w:p>
    <w:p w:rsidR="0072624F" w:rsidRDefault="0072624F" w:rsidP="0072624F">
      <w:pPr>
        <w:pStyle w:val="Titre"/>
        <w:rPr>
          <w:rFonts w:ascii="Times New Roman" w:hAnsi="Times New Roman"/>
          <w:color w:val="FF0000"/>
          <w:sz w:val="16"/>
        </w:rPr>
      </w:pPr>
    </w:p>
    <w:p w:rsidR="0072624F" w:rsidRPr="0072624F" w:rsidRDefault="0072624F" w:rsidP="0072624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vous appuyant sur le document et vos connaissances, </w:t>
      </w:r>
      <w:r>
        <w:rPr>
          <w:rFonts w:ascii="Times New Roman" w:eastAsia="Times New Roman" w:hAnsi="Times New Roman" w:cs="Times New Roman"/>
          <w:sz w:val="24"/>
          <w:szCs w:val="24"/>
        </w:rPr>
        <w:t xml:space="preserve"> </w:t>
      </w:r>
      <w:proofErr w:type="gramStart"/>
      <w:r w:rsidRPr="009C1F75">
        <w:rPr>
          <w:rFonts w:ascii="Times New Roman" w:eastAsia="Times New Roman" w:hAnsi="Times New Roman" w:cs="Times New Roman"/>
          <w:b/>
          <w:sz w:val="24"/>
          <w:szCs w:val="24"/>
        </w:rPr>
        <w:t>expliquer</w:t>
      </w:r>
      <w:proofErr w:type="gramEnd"/>
      <w:r>
        <w:rPr>
          <w:rFonts w:ascii="Times New Roman" w:eastAsia="Times New Roman" w:hAnsi="Times New Roman" w:cs="Times New Roman"/>
          <w:sz w:val="24"/>
          <w:szCs w:val="24"/>
        </w:rPr>
        <w:t xml:space="preserve"> que la photosynthèse peut être découpée en deux phases dont vous préciserez les noms et le déroulement.</w:t>
      </w:r>
    </w:p>
    <w:p w:rsidR="0072624F" w:rsidRDefault="0072624F" w:rsidP="0072624F">
      <w:pPr>
        <w:rPr>
          <w:b/>
          <w:u w:val="single"/>
        </w:rPr>
      </w:pPr>
    </w:p>
    <w:p w:rsidR="0072624F" w:rsidRDefault="0072624F" w:rsidP="0072624F">
      <w:pPr>
        <w:pStyle w:val="BodyText2"/>
        <w:ind w:right="290"/>
        <w:jc w:val="both"/>
      </w:pPr>
      <w:r>
        <w:t>La présentation orale (5 minutes environ) puis l'interrogation (5 minutes environ) doivent permettre de préciser la démarche, en s'appuyant sur les éléments écrits choisis par le candidat, qui peut utiliser pour cela les feuilles de brouillon mises à sa disposition.</w:t>
      </w:r>
    </w:p>
    <w:p w:rsidR="0072624F" w:rsidRDefault="0072624F" w:rsidP="0072624F">
      <w:pPr>
        <w:rPr>
          <w:b/>
          <w:u w:val="single"/>
        </w:rPr>
      </w:pPr>
    </w:p>
    <w:p w:rsidR="0072624F" w:rsidRDefault="0072624F" w:rsidP="0072624F">
      <w:pPr>
        <w:jc w:val="center"/>
        <w:rPr>
          <w:b/>
        </w:rPr>
      </w:pPr>
      <w:r>
        <w:rPr>
          <w:b/>
        </w:rPr>
        <w:t xml:space="preserve">Temps de préparation : environ 10 minutes </w:t>
      </w:r>
    </w:p>
    <w:p w:rsidR="0072624F" w:rsidRDefault="0072624F" w:rsidP="0072624F">
      <w:pPr>
        <w:jc w:val="center"/>
        <w:rPr>
          <w:b/>
        </w:rPr>
      </w:pPr>
      <w:r>
        <w:rPr>
          <w:b/>
        </w:rPr>
        <w:t>(20 minutes pour les deux questions).</w:t>
      </w:r>
    </w:p>
    <w:p w:rsidR="0072624F" w:rsidRDefault="0072624F" w:rsidP="0072624F">
      <w:pPr>
        <w:jc w:val="center"/>
        <w:rPr>
          <w:b/>
        </w:rPr>
      </w:pPr>
    </w:p>
    <w:p w:rsidR="0072624F" w:rsidRDefault="0072624F" w:rsidP="0072624F">
      <w:pPr>
        <w:jc w:val="center"/>
        <w:rPr>
          <w:b/>
        </w:rPr>
      </w:pPr>
      <w:r>
        <w:rPr>
          <w:b/>
        </w:rPr>
        <w:t>Durée de l'interrogation dialoguée : 10 minutes</w:t>
      </w:r>
    </w:p>
    <w:p w:rsidR="0072624F" w:rsidRDefault="0072624F" w:rsidP="0072624F">
      <w:pPr>
        <w:jc w:val="center"/>
        <w:rPr>
          <w:b/>
        </w:rPr>
      </w:pPr>
      <w:r>
        <w:rPr>
          <w:b/>
        </w:rPr>
        <w:t>(20 minutes pour les deux questions).</w:t>
      </w:r>
    </w:p>
    <w:p w:rsidR="0072624F" w:rsidRDefault="0072624F" w:rsidP="0072624F">
      <w:pPr>
        <w:jc w:val="center"/>
        <w:rPr>
          <w:b/>
        </w:rPr>
      </w:pPr>
    </w:p>
    <w:p w:rsidR="0072624F" w:rsidRDefault="0072624F" w:rsidP="0072624F">
      <w:pPr>
        <w:rPr>
          <w:b/>
        </w:rPr>
      </w:pPr>
    </w:p>
    <w:p w:rsidR="0072624F" w:rsidRDefault="0072624F" w:rsidP="0072624F">
      <w:pPr>
        <w:jc w:val="center"/>
        <w:rPr>
          <w:b/>
        </w:rPr>
      </w:pPr>
      <w:r>
        <w:rPr>
          <w:b/>
        </w:rPr>
        <w:t>Il est possible d'écrire sur le document</w:t>
      </w:r>
    </w:p>
    <w:p w:rsidR="0072624F" w:rsidRDefault="0072624F" w:rsidP="0072624F">
      <w:pPr>
        <w:jc w:val="center"/>
        <w:rPr>
          <w:b/>
        </w:rPr>
      </w:pPr>
    </w:p>
    <w:p w:rsidR="0072624F" w:rsidRDefault="0072624F" w:rsidP="0072624F">
      <w:pPr>
        <w:jc w:val="center"/>
        <w:rPr>
          <w:b/>
        </w:rPr>
      </w:pPr>
      <w:r>
        <w:rPr>
          <w:b/>
        </w:rPr>
        <w:t>Le document doit être restitué à la fin de l'interrogation dialoguée.</w:t>
      </w:r>
    </w:p>
    <w:p w:rsidR="0072624F" w:rsidRDefault="0072624F" w:rsidP="00CA4568">
      <w:pPr>
        <w:spacing w:after="0" w:line="240" w:lineRule="auto"/>
        <w:jc w:val="center"/>
        <w:rPr>
          <w:rFonts w:ascii="Times New Roman" w:eastAsia="Times New Roman" w:hAnsi="Times New Roman" w:cs="Times New Roman"/>
          <w:sz w:val="24"/>
          <w:szCs w:val="24"/>
        </w:rPr>
      </w:pPr>
    </w:p>
    <w:p w:rsidR="0072624F" w:rsidRDefault="0072624F" w:rsidP="00CA4568">
      <w:pPr>
        <w:spacing w:after="0" w:line="240" w:lineRule="auto"/>
        <w:jc w:val="center"/>
        <w:rPr>
          <w:rFonts w:ascii="Times New Roman" w:eastAsia="Times New Roman" w:hAnsi="Times New Roman" w:cs="Times New Roman"/>
          <w:sz w:val="24"/>
          <w:szCs w:val="24"/>
        </w:rPr>
      </w:pPr>
    </w:p>
    <w:p w:rsidR="0072624F" w:rsidRDefault="0072624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CA4568" w:rsidRDefault="00CA4568" w:rsidP="00CA456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p w:rsidR="00CA4568" w:rsidRDefault="00CA4568" w:rsidP="00CA4568">
      <w:pPr>
        <w:spacing w:after="0" w:line="240" w:lineRule="auto"/>
        <w:jc w:val="both"/>
        <w:rPr>
          <w:rFonts w:ascii="Times New Roman" w:eastAsia="Times New Roman" w:hAnsi="Times New Roman" w:cs="Times New Roman"/>
          <w:sz w:val="24"/>
          <w:szCs w:val="24"/>
        </w:rPr>
      </w:pPr>
    </w:p>
    <w:p w:rsidR="004450CD" w:rsidRDefault="00CA4568" w:rsidP="00CA4568">
      <w:pPr>
        <w:spacing w:after="0" w:line="240" w:lineRule="auto"/>
        <w:jc w:val="both"/>
        <w:rPr>
          <w:rFonts w:ascii="Times New Roman" w:eastAsia="Times New Roman" w:hAnsi="Times New Roman" w:cs="Times New Roman"/>
          <w:sz w:val="24"/>
          <w:szCs w:val="24"/>
        </w:rPr>
      </w:pPr>
      <w:r w:rsidRPr="00CA4568">
        <w:rPr>
          <w:rFonts w:ascii="Times New Roman" w:eastAsia="Times New Roman" w:hAnsi="Times New Roman" w:cs="Times New Roman"/>
          <w:b/>
          <w:sz w:val="24"/>
          <w:szCs w:val="24"/>
          <w:u w:val="single"/>
        </w:rPr>
        <w:t>Document </w:t>
      </w:r>
      <w:r>
        <w:rPr>
          <w:rFonts w:ascii="Times New Roman" w:eastAsia="Times New Roman" w:hAnsi="Times New Roman" w:cs="Times New Roman"/>
          <w:sz w:val="24"/>
          <w:szCs w:val="24"/>
        </w:rPr>
        <w:t xml:space="preserve">: </w:t>
      </w:r>
      <w:r w:rsidR="004450CD">
        <w:rPr>
          <w:rFonts w:ascii="Times New Roman" w:eastAsia="Times New Roman" w:hAnsi="Times New Roman" w:cs="Times New Roman"/>
          <w:sz w:val="24"/>
          <w:szCs w:val="24"/>
        </w:rPr>
        <w:t>Variation de la radioactivité au cours du temps</w:t>
      </w:r>
    </w:p>
    <w:p w:rsidR="004450CD" w:rsidRDefault="004450CD" w:rsidP="00CA4568">
      <w:pPr>
        <w:spacing w:after="0" w:line="240" w:lineRule="auto"/>
        <w:jc w:val="both"/>
        <w:rPr>
          <w:rFonts w:ascii="Times New Roman" w:eastAsia="Times New Roman" w:hAnsi="Times New Roman" w:cs="Times New Roman"/>
          <w:sz w:val="24"/>
          <w:szCs w:val="24"/>
        </w:rPr>
      </w:pPr>
    </w:p>
    <w:p w:rsidR="00CA4568" w:rsidRDefault="004450CD" w:rsidP="00CA4568">
      <w:pPr>
        <w:spacing w:after="0" w:line="240" w:lineRule="auto"/>
        <w:jc w:val="both"/>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Des</w:t>
      </w:r>
      <w:r w:rsidR="00CA4568">
        <w:rPr>
          <w:rFonts w:ascii="Times New Roman" w:eastAsia="Times New Roman" w:hAnsi="Times New Roman" w:cs="Times New Roman"/>
          <w:sz w:val="24"/>
          <w:szCs w:val="24"/>
        </w:rPr>
        <w:t xml:space="preserve"> chlorelles (algues vertes) sont cultivées dans un milieu où barbote de l’air enrichi en </w:t>
      </w:r>
      <w:r w:rsidR="00CA4568" w:rsidRPr="00CA4568">
        <w:rPr>
          <w:rFonts w:ascii="Times New Roman" w:eastAsia="Times New Roman" w:hAnsi="Times New Roman" w:cs="Times New Roman"/>
          <w:sz w:val="24"/>
          <w:szCs w:val="24"/>
          <w:vertAlign w:val="superscript"/>
        </w:rPr>
        <w:t>14</w:t>
      </w:r>
      <w:r w:rsidR="00CA4568">
        <w:rPr>
          <w:rFonts w:ascii="Times New Roman" w:eastAsia="Times New Roman" w:hAnsi="Times New Roman" w:cs="Times New Roman"/>
          <w:sz w:val="24"/>
          <w:szCs w:val="24"/>
        </w:rPr>
        <w:t>CO</w:t>
      </w:r>
      <w:r w:rsidR="00CA4568" w:rsidRPr="00CA4568">
        <w:rPr>
          <w:rFonts w:ascii="Times New Roman" w:eastAsia="Times New Roman" w:hAnsi="Times New Roman" w:cs="Times New Roman"/>
          <w:sz w:val="24"/>
          <w:szCs w:val="24"/>
          <w:vertAlign w:val="subscript"/>
        </w:rPr>
        <w:t>2</w:t>
      </w:r>
      <w:r w:rsidR="00CA4568">
        <w:rPr>
          <w:rFonts w:ascii="Times New Roman" w:eastAsia="Times New Roman" w:hAnsi="Times New Roman" w:cs="Times New Roman"/>
          <w:sz w:val="24"/>
          <w:szCs w:val="24"/>
        </w:rPr>
        <w:t xml:space="preserve"> dont le taux est maintenu constant. La culture est placée à  la lumière pendant  30 minutes puis à l’obscurité.</w:t>
      </w:r>
    </w:p>
    <w:p w:rsidR="00CA4568" w:rsidRDefault="00CA4568" w:rsidP="00CA456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 prélèvements effectuées périodiquement permettent de mesurer la radioactivité de trois produits  du cycle de Calvin : l’APG (acide </w:t>
      </w:r>
      <w:proofErr w:type="spellStart"/>
      <w:r>
        <w:rPr>
          <w:rFonts w:ascii="Times New Roman" w:eastAsia="Times New Roman" w:hAnsi="Times New Roman" w:cs="Times New Roman"/>
          <w:sz w:val="24"/>
          <w:szCs w:val="24"/>
        </w:rPr>
        <w:t>phosphoglycréique</w:t>
      </w:r>
      <w:proofErr w:type="spellEnd"/>
      <w:r>
        <w:rPr>
          <w:rFonts w:ascii="Times New Roman" w:eastAsia="Times New Roman" w:hAnsi="Times New Roman" w:cs="Times New Roman"/>
          <w:sz w:val="24"/>
          <w:szCs w:val="24"/>
        </w:rPr>
        <w:t>), le Ru-BP (</w:t>
      </w:r>
      <w:proofErr w:type="spellStart"/>
      <w:r>
        <w:rPr>
          <w:rFonts w:ascii="Times New Roman" w:eastAsia="Times New Roman" w:hAnsi="Times New Roman" w:cs="Times New Roman"/>
          <w:sz w:val="24"/>
          <w:szCs w:val="24"/>
        </w:rPr>
        <w:t>ribulose</w:t>
      </w:r>
      <w:proofErr w:type="spellEnd"/>
      <w:r>
        <w:rPr>
          <w:rFonts w:ascii="Times New Roman" w:eastAsia="Times New Roman" w:hAnsi="Times New Roman" w:cs="Times New Roman"/>
          <w:sz w:val="24"/>
          <w:szCs w:val="24"/>
        </w:rPr>
        <w:t xml:space="preserve"> 1-5 </w:t>
      </w:r>
      <w:proofErr w:type="spellStart"/>
      <w:r>
        <w:rPr>
          <w:rFonts w:ascii="Times New Roman" w:eastAsia="Times New Roman" w:hAnsi="Times New Roman" w:cs="Times New Roman"/>
          <w:sz w:val="24"/>
          <w:szCs w:val="24"/>
        </w:rPr>
        <w:t>bisphosphate</w:t>
      </w:r>
      <w:proofErr w:type="spellEnd"/>
      <w:r>
        <w:rPr>
          <w:rFonts w:ascii="Times New Roman" w:eastAsia="Times New Roman" w:hAnsi="Times New Roman" w:cs="Times New Roman"/>
          <w:sz w:val="24"/>
          <w:szCs w:val="24"/>
        </w:rPr>
        <w:t>) et les hexoses (sucres à 6 carbones).</w:t>
      </w:r>
    </w:p>
    <w:p w:rsidR="00CA4568" w:rsidRDefault="00CA4568" w:rsidP="00CA4568">
      <w:pPr>
        <w:spacing w:after="0" w:line="240" w:lineRule="auto"/>
        <w:jc w:val="center"/>
        <w:rPr>
          <w:rFonts w:ascii="Times New Roman" w:eastAsia="Times New Roman" w:hAnsi="Times New Roman" w:cs="Times New Roman"/>
          <w:sz w:val="24"/>
          <w:szCs w:val="24"/>
        </w:rPr>
      </w:pPr>
    </w:p>
    <w:p w:rsidR="00CA4568" w:rsidRDefault="00CA4568" w:rsidP="00CA4568">
      <w:pPr>
        <w:spacing w:after="0" w:line="240" w:lineRule="auto"/>
        <w:jc w:val="center"/>
        <w:rPr>
          <w:rFonts w:ascii="Times New Roman" w:eastAsia="Times New Roman" w:hAnsi="Times New Roman" w:cs="Times New Roman"/>
          <w:sz w:val="24"/>
          <w:szCs w:val="24"/>
        </w:rPr>
      </w:pPr>
    </w:p>
    <w:p w:rsidR="00CA4568" w:rsidRDefault="00CA4568" w:rsidP="00CA4568">
      <w:pPr>
        <w:spacing w:after="0" w:line="240" w:lineRule="auto"/>
        <w:jc w:val="center"/>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4332223" cy="3838109"/>
            <wp:effectExtent l="19050" t="0" r="0" b="0"/>
            <wp:docPr id="1" name="Image 1" descr="http://artic.ac-besancon.fr/svt/act_ped/svt_lyc/eva_bac/s-bac2004/images/photosynthes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tic.ac-besancon.fr/svt/act_ped/svt_lyc/eva_bac/s-bac2004/images/photosynthese2.gif"/>
                    <pic:cNvPicPr>
                      <a:picLocks noChangeAspect="1" noChangeArrowheads="1"/>
                    </pic:cNvPicPr>
                  </pic:nvPicPr>
                  <pic:blipFill>
                    <a:blip r:embed="rId5" cstate="print"/>
                    <a:srcRect/>
                    <a:stretch>
                      <a:fillRect/>
                    </a:stretch>
                  </pic:blipFill>
                  <pic:spPr bwMode="auto">
                    <a:xfrm>
                      <a:off x="0" y="0"/>
                      <a:ext cx="4331807" cy="3837741"/>
                    </a:xfrm>
                    <a:prstGeom prst="rect">
                      <a:avLst/>
                    </a:prstGeom>
                    <a:noFill/>
                    <a:ln w="9525">
                      <a:noFill/>
                      <a:miter lim="800000"/>
                      <a:headEnd/>
                      <a:tailEnd/>
                    </a:ln>
                  </pic:spPr>
                </pic:pic>
              </a:graphicData>
            </a:graphic>
          </wp:inline>
        </w:drawing>
      </w:r>
    </w:p>
    <w:p w:rsidR="009C1F75" w:rsidRDefault="009C1F75" w:rsidP="009C1F7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Source : baccalauréat SVT session métropole septembre 2004.</w:t>
      </w:r>
    </w:p>
    <w:p w:rsidR="009C1F75" w:rsidRDefault="009C1F75" w:rsidP="009C1F75">
      <w:pPr>
        <w:spacing w:after="0" w:line="240" w:lineRule="auto"/>
        <w:jc w:val="right"/>
        <w:rPr>
          <w:rFonts w:ascii="Times New Roman" w:eastAsia="Times New Roman" w:hAnsi="Times New Roman" w:cs="Times New Roman"/>
          <w:sz w:val="24"/>
          <w:szCs w:val="24"/>
        </w:rPr>
      </w:pPr>
    </w:p>
    <w:p w:rsidR="009C1F75" w:rsidRDefault="009C1F75" w:rsidP="00CA4568">
      <w:pPr>
        <w:spacing w:after="0" w:line="240" w:lineRule="auto"/>
        <w:rPr>
          <w:rFonts w:ascii="Times New Roman" w:eastAsia="Times New Roman" w:hAnsi="Times New Roman" w:cs="Times New Roman"/>
          <w:sz w:val="24"/>
          <w:szCs w:val="24"/>
        </w:rPr>
      </w:pPr>
    </w:p>
    <w:p w:rsidR="0072624F" w:rsidRDefault="0072624F">
      <w:r>
        <w:br w:type="page"/>
      </w:r>
    </w:p>
    <w:tbl>
      <w:tblPr>
        <w:tblStyle w:val="Grilledutableau"/>
        <w:tblW w:w="0" w:type="auto"/>
        <w:tblLook w:val="04A0" w:firstRow="1" w:lastRow="0" w:firstColumn="1" w:lastColumn="0" w:noHBand="0" w:noVBand="1"/>
      </w:tblPr>
      <w:tblGrid>
        <w:gridCol w:w="4189"/>
        <w:gridCol w:w="6493"/>
      </w:tblGrid>
      <w:tr w:rsidR="0072624F" w:rsidRPr="0072624F" w:rsidTr="00DB09BD">
        <w:tc>
          <w:tcPr>
            <w:tcW w:w="0" w:type="auto"/>
          </w:tcPr>
          <w:p w:rsidR="0072624F" w:rsidRPr="0072624F" w:rsidRDefault="0072624F" w:rsidP="0072624F">
            <w:pPr>
              <w:jc w:val="both"/>
              <w:rPr>
                <w:sz w:val="20"/>
                <w:szCs w:val="20"/>
              </w:rPr>
            </w:pPr>
            <w:r w:rsidRPr="0072624F">
              <w:rPr>
                <w:sz w:val="20"/>
                <w:szCs w:val="20"/>
              </w:rPr>
              <w:lastRenderedPageBreak/>
              <w:t>saisie des données</w:t>
            </w:r>
          </w:p>
        </w:tc>
        <w:tc>
          <w:tcPr>
            <w:tcW w:w="0" w:type="auto"/>
          </w:tcPr>
          <w:p w:rsidR="0072624F" w:rsidRPr="0072624F" w:rsidRDefault="0072624F" w:rsidP="0072624F">
            <w:pPr>
              <w:jc w:val="both"/>
              <w:rPr>
                <w:sz w:val="20"/>
                <w:szCs w:val="20"/>
              </w:rPr>
            </w:pPr>
            <w:r w:rsidRPr="0072624F">
              <w:rPr>
                <w:sz w:val="20"/>
                <w:szCs w:val="20"/>
              </w:rPr>
              <w:t>déduction</w:t>
            </w:r>
          </w:p>
        </w:tc>
      </w:tr>
      <w:tr w:rsidR="0072624F" w:rsidRPr="0072624F" w:rsidTr="00DB09BD">
        <w:tc>
          <w:tcPr>
            <w:tcW w:w="0" w:type="auto"/>
          </w:tcPr>
          <w:p w:rsidR="0072624F" w:rsidRPr="0072624F" w:rsidRDefault="0072624F" w:rsidP="0072624F">
            <w:pPr>
              <w:jc w:val="both"/>
              <w:rPr>
                <w:sz w:val="20"/>
                <w:szCs w:val="20"/>
              </w:rPr>
            </w:pPr>
            <w:r w:rsidRPr="0072624F">
              <w:rPr>
                <w:sz w:val="20"/>
                <w:szCs w:val="20"/>
              </w:rPr>
              <w:t xml:space="preserve">En présence de </w:t>
            </w:r>
            <w:r w:rsidRPr="0072624F">
              <w:rPr>
                <w:sz w:val="20"/>
                <w:szCs w:val="20"/>
                <w:vertAlign w:val="superscript"/>
              </w:rPr>
              <w:t>14</w:t>
            </w:r>
            <w:r w:rsidRPr="0072624F">
              <w:rPr>
                <w:sz w:val="20"/>
                <w:szCs w:val="20"/>
              </w:rPr>
              <w:t>CO</w:t>
            </w:r>
            <w:r w:rsidRPr="0072624F">
              <w:rPr>
                <w:sz w:val="20"/>
                <w:szCs w:val="20"/>
                <w:vertAlign w:val="subscript"/>
              </w:rPr>
              <w:t>2</w:t>
            </w:r>
            <w:r w:rsidRPr="0072624F">
              <w:rPr>
                <w:sz w:val="20"/>
                <w:szCs w:val="20"/>
              </w:rPr>
              <w:t>, on détecte la radioactivité dans les trois types de molécules étudiées (</w:t>
            </w:r>
            <w:r w:rsidRPr="0072624F">
              <w:rPr>
                <w:rFonts w:eastAsia="Times New Roman" w:cs="Times New Roman"/>
                <w:sz w:val="20"/>
                <w:szCs w:val="20"/>
              </w:rPr>
              <w:t>APG, Ru-BP, hexoses</w:t>
            </w:r>
            <w:r w:rsidRPr="0072624F">
              <w:rPr>
                <w:sz w:val="20"/>
                <w:szCs w:val="20"/>
              </w:rPr>
              <w:t xml:space="preserve">) </w:t>
            </w:r>
            <w:r w:rsidRPr="0072624F">
              <w:rPr>
                <w:b/>
                <w:color w:val="FF0000"/>
                <w:sz w:val="20"/>
                <w:szCs w:val="20"/>
              </w:rPr>
              <w:t>1</w:t>
            </w:r>
          </w:p>
        </w:tc>
        <w:tc>
          <w:tcPr>
            <w:tcW w:w="0" w:type="auto"/>
          </w:tcPr>
          <w:p w:rsidR="0072624F" w:rsidRPr="0072624F" w:rsidRDefault="0072624F" w:rsidP="0072624F">
            <w:pPr>
              <w:jc w:val="both"/>
              <w:rPr>
                <w:color w:val="FF0000"/>
                <w:sz w:val="20"/>
                <w:szCs w:val="20"/>
              </w:rPr>
            </w:pPr>
            <w:r w:rsidRPr="0072624F">
              <w:rPr>
                <w:sz w:val="20"/>
                <w:szCs w:val="20"/>
              </w:rPr>
              <w:t>Ces molécules sont synthétisées à partir du carbone contenu dans le CO</w:t>
            </w:r>
            <w:r w:rsidRPr="0072624F">
              <w:rPr>
                <w:sz w:val="20"/>
                <w:szCs w:val="20"/>
                <w:vertAlign w:val="subscript"/>
              </w:rPr>
              <w:t>2</w:t>
            </w:r>
            <w:r w:rsidRPr="0072624F">
              <w:rPr>
                <w:sz w:val="20"/>
                <w:szCs w:val="20"/>
              </w:rPr>
              <w:t xml:space="preserve"> (réduction du carbone) = photosynthèse </w:t>
            </w:r>
            <w:r w:rsidRPr="0072624F">
              <w:rPr>
                <w:b/>
                <w:color w:val="FF0000"/>
                <w:sz w:val="20"/>
                <w:szCs w:val="20"/>
              </w:rPr>
              <w:t>1</w:t>
            </w:r>
            <w:r w:rsidRPr="0072624F">
              <w:rPr>
                <w:color w:val="FF0000"/>
                <w:sz w:val="20"/>
                <w:szCs w:val="20"/>
              </w:rPr>
              <w:t xml:space="preserve">. </w:t>
            </w:r>
          </w:p>
          <w:p w:rsidR="0072624F" w:rsidRPr="0072624F" w:rsidRDefault="0072624F" w:rsidP="0072624F">
            <w:pPr>
              <w:jc w:val="both"/>
              <w:rPr>
                <w:color w:val="FF0000"/>
                <w:sz w:val="20"/>
                <w:szCs w:val="20"/>
              </w:rPr>
            </w:pPr>
          </w:p>
          <w:p w:rsidR="0072624F" w:rsidRPr="0072624F" w:rsidRDefault="0072624F" w:rsidP="0072624F">
            <w:pPr>
              <w:jc w:val="both"/>
              <w:rPr>
                <w:sz w:val="20"/>
                <w:szCs w:val="20"/>
              </w:rPr>
            </w:pPr>
          </w:p>
        </w:tc>
      </w:tr>
      <w:tr w:rsidR="0072624F" w:rsidRPr="0072624F" w:rsidTr="00DB09BD">
        <w:tc>
          <w:tcPr>
            <w:tcW w:w="0" w:type="auto"/>
            <w:gridSpan w:val="2"/>
          </w:tcPr>
          <w:p w:rsidR="0072624F" w:rsidRPr="0072624F" w:rsidRDefault="0072624F" w:rsidP="0072624F">
            <w:r w:rsidRPr="0072624F">
              <w:rPr>
                <w:sz w:val="20"/>
                <w:szCs w:val="20"/>
              </w:rPr>
              <w:t>On cherche ici à montrer que cette synthèse se déroule grâce à deux étapes : l’une réalisée à la lumière et l’autre à l’obscurité.</w:t>
            </w:r>
          </w:p>
        </w:tc>
      </w:tr>
      <w:tr w:rsidR="0072624F" w:rsidRPr="0072624F" w:rsidTr="00DB09BD">
        <w:tc>
          <w:tcPr>
            <w:tcW w:w="0" w:type="auto"/>
          </w:tcPr>
          <w:p w:rsidR="0072624F" w:rsidRPr="0072624F" w:rsidRDefault="0072624F" w:rsidP="0072624F">
            <w:pPr>
              <w:jc w:val="both"/>
              <w:rPr>
                <w:sz w:val="20"/>
                <w:szCs w:val="20"/>
              </w:rPr>
            </w:pPr>
            <w:r w:rsidRPr="0072624F">
              <w:rPr>
                <w:rFonts w:eastAsia="Times New Roman" w:cs="Times New Roman"/>
                <w:b/>
                <w:sz w:val="20"/>
                <w:szCs w:val="20"/>
              </w:rPr>
              <w:t>A la lumière,</w:t>
            </w:r>
            <w:r w:rsidRPr="0072624F">
              <w:rPr>
                <w:rFonts w:eastAsia="Times New Roman" w:cs="Times New Roman"/>
                <w:sz w:val="20"/>
                <w:szCs w:val="20"/>
              </w:rPr>
              <w:t xml:space="preserve"> l’APG et le Ru-BP sont à des concentrations fixes à la lumière alors que le taux d’hexoses augmente progressivement </w:t>
            </w:r>
            <w:r w:rsidRPr="0072624F">
              <w:rPr>
                <w:rFonts w:eastAsia="Times New Roman" w:cs="Times New Roman"/>
                <w:b/>
                <w:color w:val="FF0000"/>
                <w:sz w:val="20"/>
                <w:szCs w:val="20"/>
              </w:rPr>
              <w:t>1</w:t>
            </w:r>
          </w:p>
        </w:tc>
        <w:tc>
          <w:tcPr>
            <w:tcW w:w="0" w:type="auto"/>
            <w:vMerge w:val="restart"/>
          </w:tcPr>
          <w:p w:rsidR="0072624F" w:rsidRPr="0072624F" w:rsidRDefault="0072624F" w:rsidP="0072624F">
            <w:pPr>
              <w:autoSpaceDE w:val="0"/>
              <w:autoSpaceDN w:val="0"/>
              <w:adjustRightInd w:val="0"/>
              <w:rPr>
                <w:sz w:val="20"/>
                <w:szCs w:val="20"/>
              </w:rPr>
            </w:pPr>
            <w:r w:rsidRPr="0072624F">
              <w:rPr>
                <w:sz w:val="20"/>
                <w:szCs w:val="20"/>
              </w:rPr>
              <w:t>Pendant les 80 premières secondes à l’obscurité, la synthèse des hexoses ne dépend pas de la lumière (pas directement).</w:t>
            </w:r>
            <w:r w:rsidRPr="0072624F">
              <w:rPr>
                <w:b/>
                <w:color w:val="FF0000"/>
                <w:sz w:val="20"/>
                <w:szCs w:val="20"/>
              </w:rPr>
              <w:t>1</w:t>
            </w:r>
          </w:p>
          <w:p w:rsidR="0072624F" w:rsidRPr="0072624F" w:rsidRDefault="0072624F" w:rsidP="0072624F">
            <w:pPr>
              <w:autoSpaceDE w:val="0"/>
              <w:autoSpaceDN w:val="0"/>
              <w:adjustRightInd w:val="0"/>
              <w:rPr>
                <w:sz w:val="20"/>
                <w:szCs w:val="20"/>
              </w:rPr>
            </w:pPr>
            <w:r w:rsidRPr="0072624F">
              <w:rPr>
                <w:sz w:val="20"/>
                <w:szCs w:val="20"/>
              </w:rPr>
              <w:t xml:space="preserve">En l’absence de lumière, la synthèse des hexoses s’accompagne d’une accumulation d’APG et d’une consommation de </w:t>
            </w:r>
            <w:proofErr w:type="spellStart"/>
            <w:r w:rsidRPr="0072624F">
              <w:rPr>
                <w:sz w:val="20"/>
                <w:szCs w:val="20"/>
              </w:rPr>
              <w:t>RuBP</w:t>
            </w:r>
            <w:proofErr w:type="spellEnd"/>
            <w:r w:rsidRPr="0072624F">
              <w:rPr>
                <w:sz w:val="20"/>
                <w:szCs w:val="20"/>
              </w:rPr>
              <w:t> </w:t>
            </w:r>
            <w:r w:rsidRPr="0072624F">
              <w:rPr>
                <w:b/>
                <w:color w:val="FF0000"/>
                <w:sz w:val="20"/>
                <w:szCs w:val="20"/>
              </w:rPr>
              <w:t>1</w:t>
            </w:r>
          </w:p>
          <w:p w:rsidR="0072624F" w:rsidRPr="0072624F" w:rsidRDefault="0072624F" w:rsidP="0072624F">
            <w:pPr>
              <w:autoSpaceDE w:val="0"/>
              <w:autoSpaceDN w:val="0"/>
              <w:adjustRightInd w:val="0"/>
              <w:rPr>
                <w:sz w:val="20"/>
                <w:szCs w:val="20"/>
              </w:rPr>
            </w:pPr>
            <w:proofErr w:type="spellStart"/>
            <w:r w:rsidRPr="0072624F">
              <w:rPr>
                <w:sz w:val="20"/>
                <w:szCs w:val="20"/>
              </w:rPr>
              <w:t>RuBP</w:t>
            </w:r>
            <w:proofErr w:type="spellEnd"/>
            <w:r w:rsidRPr="0072624F">
              <w:rPr>
                <w:sz w:val="20"/>
                <w:szCs w:val="20"/>
              </w:rPr>
              <w:t xml:space="preserve"> +CO2 </w:t>
            </w:r>
            <w:r w:rsidRPr="0072624F">
              <w:rPr>
                <w:sz w:val="20"/>
                <w:szCs w:val="20"/>
              </w:rPr>
              <w:sym w:font="Wingdings" w:char="F0F0"/>
            </w:r>
            <w:r w:rsidRPr="0072624F">
              <w:rPr>
                <w:sz w:val="20"/>
                <w:szCs w:val="20"/>
              </w:rPr>
              <w:t>APG + hexoses</w:t>
            </w:r>
          </w:p>
          <w:p w:rsidR="0072624F" w:rsidRPr="0072624F" w:rsidRDefault="0072624F" w:rsidP="0072624F">
            <w:pPr>
              <w:autoSpaceDE w:val="0"/>
              <w:autoSpaceDN w:val="0"/>
              <w:adjustRightInd w:val="0"/>
              <w:rPr>
                <w:sz w:val="20"/>
                <w:szCs w:val="20"/>
              </w:rPr>
            </w:pPr>
            <w:r w:rsidRPr="0072624F">
              <w:rPr>
                <w:sz w:val="20"/>
                <w:szCs w:val="20"/>
              </w:rPr>
              <w:t xml:space="preserve">En l’absence de lumière, le </w:t>
            </w:r>
            <w:proofErr w:type="spellStart"/>
            <w:r w:rsidRPr="0072624F">
              <w:rPr>
                <w:sz w:val="20"/>
                <w:szCs w:val="20"/>
              </w:rPr>
              <w:t>RuBP</w:t>
            </w:r>
            <w:proofErr w:type="spellEnd"/>
            <w:r w:rsidRPr="0072624F">
              <w:rPr>
                <w:sz w:val="20"/>
                <w:szCs w:val="20"/>
              </w:rPr>
              <w:t xml:space="preserve"> n’est plus régénéré et l’APG s’accumule : cyclicité de la phase chimique</w:t>
            </w:r>
            <w:r w:rsidRPr="0072624F">
              <w:rPr>
                <w:b/>
                <w:color w:val="FF0000"/>
                <w:sz w:val="20"/>
                <w:szCs w:val="20"/>
              </w:rPr>
              <w:t>1</w:t>
            </w:r>
          </w:p>
          <w:p w:rsidR="0072624F" w:rsidRPr="0072624F" w:rsidRDefault="0072624F" w:rsidP="0072624F">
            <w:pPr>
              <w:autoSpaceDE w:val="0"/>
              <w:autoSpaceDN w:val="0"/>
              <w:adjustRightInd w:val="0"/>
              <w:rPr>
                <w:sz w:val="20"/>
                <w:szCs w:val="20"/>
              </w:rPr>
            </w:pPr>
            <w:r w:rsidRPr="0072624F">
              <w:rPr>
                <w:sz w:val="20"/>
                <w:szCs w:val="20"/>
              </w:rPr>
              <w:t>La lumière est indispensable pour permettre cette cyclicité : la lumière permet de former des substances (</w:t>
            </w:r>
            <w:r w:rsidRPr="0072624F">
              <w:rPr>
                <w:i/>
                <w:sz w:val="20"/>
                <w:szCs w:val="20"/>
              </w:rPr>
              <w:t>RH2, ATP</w:t>
            </w:r>
            <w:r w:rsidRPr="0072624F">
              <w:rPr>
                <w:sz w:val="20"/>
                <w:szCs w:val="20"/>
              </w:rPr>
              <w:t>) indispensables à la synthèse des hexoses, ces substances disparaissent après 80 secondes d’obscurité, interrompant la synthèse des hexoses.</w:t>
            </w:r>
            <w:r w:rsidRPr="0072624F">
              <w:rPr>
                <w:b/>
                <w:color w:val="FF0000"/>
                <w:sz w:val="20"/>
                <w:szCs w:val="20"/>
              </w:rPr>
              <w:t>2</w:t>
            </w:r>
          </w:p>
        </w:tc>
      </w:tr>
      <w:tr w:rsidR="0072624F" w:rsidRPr="0072624F" w:rsidTr="00DB09BD">
        <w:trPr>
          <w:trHeight w:val="1147"/>
        </w:trPr>
        <w:tc>
          <w:tcPr>
            <w:tcW w:w="0" w:type="auto"/>
          </w:tcPr>
          <w:p w:rsidR="0072624F" w:rsidRPr="0072624F" w:rsidRDefault="0072624F" w:rsidP="0072624F">
            <w:pPr>
              <w:jc w:val="both"/>
              <w:rPr>
                <w:sz w:val="20"/>
                <w:szCs w:val="20"/>
              </w:rPr>
            </w:pPr>
            <w:r w:rsidRPr="0072624F">
              <w:rPr>
                <w:b/>
                <w:sz w:val="20"/>
                <w:szCs w:val="20"/>
              </w:rPr>
              <w:t>A l‘obscurité :</w:t>
            </w:r>
            <w:r w:rsidRPr="0072624F">
              <w:rPr>
                <w:sz w:val="20"/>
                <w:szCs w:val="20"/>
              </w:rPr>
              <w:t xml:space="preserve"> dans un premier temps (80 secondes), le taux de Ru-BP décroit alors que le taux de APG augmente ainsi que celui des hexoses </w:t>
            </w:r>
            <w:r w:rsidRPr="0072624F">
              <w:rPr>
                <w:b/>
                <w:color w:val="FF0000"/>
                <w:sz w:val="20"/>
                <w:szCs w:val="20"/>
              </w:rPr>
              <w:t>1</w:t>
            </w:r>
          </w:p>
          <w:p w:rsidR="0072624F" w:rsidRPr="0072624F" w:rsidRDefault="0072624F" w:rsidP="0072624F">
            <w:pPr>
              <w:jc w:val="both"/>
              <w:rPr>
                <w:sz w:val="20"/>
                <w:szCs w:val="20"/>
              </w:rPr>
            </w:pPr>
            <w:r w:rsidRPr="0072624F">
              <w:rPr>
                <w:sz w:val="20"/>
                <w:szCs w:val="20"/>
              </w:rPr>
              <w:t xml:space="preserve">Dans un deuxième temps, lorsqu’il n’y a plus de </w:t>
            </w:r>
            <w:proofErr w:type="spellStart"/>
            <w:r w:rsidRPr="0072624F">
              <w:rPr>
                <w:sz w:val="20"/>
                <w:szCs w:val="20"/>
              </w:rPr>
              <w:t>RuBP</w:t>
            </w:r>
            <w:proofErr w:type="spellEnd"/>
            <w:r w:rsidRPr="0072624F">
              <w:rPr>
                <w:sz w:val="20"/>
                <w:szCs w:val="20"/>
              </w:rPr>
              <w:t xml:space="preserve">, le taux d’APG et celui des hexoses restent constants </w:t>
            </w:r>
            <w:r w:rsidRPr="0072624F">
              <w:rPr>
                <w:b/>
                <w:color w:val="FF0000"/>
                <w:sz w:val="20"/>
                <w:szCs w:val="20"/>
              </w:rPr>
              <w:t>1</w:t>
            </w:r>
          </w:p>
        </w:tc>
        <w:tc>
          <w:tcPr>
            <w:tcW w:w="0" w:type="auto"/>
            <w:vMerge/>
          </w:tcPr>
          <w:p w:rsidR="0072624F" w:rsidRPr="0072624F" w:rsidRDefault="0072624F" w:rsidP="0072624F">
            <w:pPr>
              <w:jc w:val="both"/>
              <w:rPr>
                <w:sz w:val="20"/>
                <w:szCs w:val="20"/>
              </w:rPr>
            </w:pPr>
          </w:p>
        </w:tc>
      </w:tr>
    </w:tbl>
    <w:p w:rsidR="009C1F75" w:rsidRDefault="009C1F75"/>
    <w:p w:rsidR="0072624F" w:rsidRDefault="0072624F"/>
    <w:p w:rsidR="0072624F" w:rsidRDefault="0072624F" w:rsidP="0072624F">
      <w:r>
        <w:rPr>
          <w:b/>
        </w:rPr>
        <w:t>Curseur de notation</w:t>
      </w:r>
      <w:r>
        <w:t xml:space="preserve"> </w:t>
      </w:r>
    </w:p>
    <w:p w:rsidR="0072624F" w:rsidRDefault="0072624F" w:rsidP="0072624F"/>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378"/>
        <w:gridCol w:w="1542"/>
        <w:gridCol w:w="1623"/>
        <w:gridCol w:w="2476"/>
        <w:gridCol w:w="2202"/>
      </w:tblGrid>
      <w:tr w:rsidR="0072624F" w:rsidTr="00DB09BD">
        <w:tc>
          <w:tcPr>
            <w:tcW w:w="2755" w:type="dxa"/>
            <w:gridSpan w:val="2"/>
            <w:vAlign w:val="center"/>
          </w:tcPr>
          <w:p w:rsidR="0072624F" w:rsidRDefault="0072624F" w:rsidP="00DB09BD">
            <w:pPr>
              <w:jc w:val="center"/>
              <w:rPr>
                <w:b/>
                <w:sz w:val="18"/>
                <w:szCs w:val="20"/>
              </w:rPr>
            </w:pPr>
            <w:r>
              <w:rPr>
                <w:b/>
                <w:sz w:val="18"/>
                <w:szCs w:val="20"/>
              </w:rPr>
              <w:t>Éléments scientifiques extraits des documents suffisants (peu d'erreurs ou oublis)</w:t>
            </w:r>
          </w:p>
        </w:tc>
        <w:tc>
          <w:tcPr>
            <w:tcW w:w="3165" w:type="dxa"/>
            <w:gridSpan w:val="2"/>
            <w:vAlign w:val="center"/>
          </w:tcPr>
          <w:p w:rsidR="0072624F" w:rsidRDefault="0072624F" w:rsidP="00DB09BD">
            <w:pPr>
              <w:jc w:val="center"/>
              <w:rPr>
                <w:b/>
                <w:sz w:val="18"/>
                <w:szCs w:val="20"/>
              </w:rPr>
            </w:pPr>
            <w:r>
              <w:rPr>
                <w:b/>
                <w:sz w:val="18"/>
                <w:szCs w:val="20"/>
              </w:rPr>
              <w:t>Éléments scientifiques partiellement extraits des documents (quelques erreurs ou oublis)</w:t>
            </w:r>
          </w:p>
        </w:tc>
        <w:tc>
          <w:tcPr>
            <w:tcW w:w="2476" w:type="dxa"/>
            <w:vAlign w:val="center"/>
          </w:tcPr>
          <w:p w:rsidR="0072624F" w:rsidRDefault="0072624F" w:rsidP="00DB09BD">
            <w:pPr>
              <w:jc w:val="center"/>
              <w:rPr>
                <w:b/>
                <w:sz w:val="18"/>
                <w:szCs w:val="20"/>
              </w:rPr>
            </w:pPr>
            <w:r>
              <w:rPr>
                <w:b/>
                <w:sz w:val="18"/>
                <w:szCs w:val="20"/>
              </w:rPr>
              <w:t>Eléments scientifiques mal extraits des documents (des erreurs ou oublis dont certains graves)</w:t>
            </w:r>
          </w:p>
        </w:tc>
        <w:tc>
          <w:tcPr>
            <w:tcW w:w="2202" w:type="dxa"/>
            <w:vAlign w:val="center"/>
          </w:tcPr>
          <w:p w:rsidR="0072624F" w:rsidRDefault="0072624F" w:rsidP="00DB09BD">
            <w:pPr>
              <w:jc w:val="center"/>
              <w:rPr>
                <w:b/>
                <w:sz w:val="18"/>
                <w:szCs w:val="20"/>
              </w:rPr>
            </w:pPr>
            <w:r>
              <w:rPr>
                <w:b/>
                <w:sz w:val="18"/>
                <w:szCs w:val="20"/>
              </w:rPr>
              <w:t>Saisie des éléments scientifiques insuffisante  (trop d'erreurs ou oublis)</w:t>
            </w:r>
          </w:p>
        </w:tc>
      </w:tr>
      <w:tr w:rsidR="0072624F" w:rsidTr="00DB09BD">
        <w:tc>
          <w:tcPr>
            <w:tcW w:w="1377" w:type="dxa"/>
            <w:vAlign w:val="center"/>
          </w:tcPr>
          <w:p w:rsidR="0072624F" w:rsidRDefault="0072624F" w:rsidP="00DB09BD">
            <w:pPr>
              <w:jc w:val="center"/>
              <w:rPr>
                <w:b/>
                <w:sz w:val="16"/>
                <w:szCs w:val="16"/>
              </w:rPr>
            </w:pPr>
            <w:r>
              <w:rPr>
                <w:b/>
                <w:sz w:val="16"/>
                <w:szCs w:val="16"/>
              </w:rPr>
              <w:t>Raisonnement cohérent qui répond à la problématique</w:t>
            </w:r>
          </w:p>
        </w:tc>
        <w:tc>
          <w:tcPr>
            <w:tcW w:w="1378" w:type="dxa"/>
            <w:vAlign w:val="center"/>
          </w:tcPr>
          <w:p w:rsidR="0072624F" w:rsidRDefault="0072624F" w:rsidP="00DB09BD">
            <w:pPr>
              <w:jc w:val="center"/>
              <w:rPr>
                <w:b/>
                <w:sz w:val="16"/>
                <w:szCs w:val="16"/>
              </w:rPr>
            </w:pPr>
            <w:r>
              <w:rPr>
                <w:b/>
                <w:sz w:val="16"/>
                <w:szCs w:val="16"/>
              </w:rPr>
              <w:t>Raisonnement maladroit mais cohérent (besoin d'un peu d'aide)</w:t>
            </w:r>
          </w:p>
        </w:tc>
        <w:tc>
          <w:tcPr>
            <w:tcW w:w="1542" w:type="dxa"/>
            <w:vAlign w:val="center"/>
          </w:tcPr>
          <w:p w:rsidR="0072624F" w:rsidRDefault="0072624F" w:rsidP="00DB09BD">
            <w:pPr>
              <w:jc w:val="center"/>
              <w:rPr>
                <w:b/>
                <w:sz w:val="16"/>
                <w:szCs w:val="16"/>
              </w:rPr>
            </w:pPr>
            <w:r>
              <w:rPr>
                <w:b/>
                <w:sz w:val="16"/>
                <w:szCs w:val="16"/>
              </w:rPr>
              <w:t>Raisonnement cohérent qui répond à la problématique</w:t>
            </w:r>
          </w:p>
        </w:tc>
        <w:tc>
          <w:tcPr>
            <w:tcW w:w="1623" w:type="dxa"/>
            <w:vAlign w:val="center"/>
          </w:tcPr>
          <w:p w:rsidR="0072624F" w:rsidRDefault="0072624F" w:rsidP="00DB09BD">
            <w:pPr>
              <w:jc w:val="center"/>
              <w:rPr>
                <w:b/>
                <w:sz w:val="16"/>
                <w:szCs w:val="16"/>
              </w:rPr>
            </w:pPr>
            <w:r>
              <w:rPr>
                <w:b/>
                <w:sz w:val="16"/>
                <w:szCs w:val="16"/>
              </w:rPr>
              <w:t>Raisonnement maladroit mais cohérent (besoin d'un peu d'aide)</w:t>
            </w:r>
          </w:p>
        </w:tc>
        <w:tc>
          <w:tcPr>
            <w:tcW w:w="4678" w:type="dxa"/>
            <w:gridSpan w:val="2"/>
            <w:vAlign w:val="center"/>
          </w:tcPr>
          <w:p w:rsidR="0072624F" w:rsidRDefault="0072624F" w:rsidP="00DB09BD">
            <w:pPr>
              <w:jc w:val="center"/>
              <w:rPr>
                <w:b/>
                <w:sz w:val="16"/>
              </w:rPr>
            </w:pPr>
            <w:r>
              <w:rPr>
                <w:b/>
                <w:sz w:val="16"/>
              </w:rPr>
              <w:t>raisonnement impossible …</w:t>
            </w:r>
          </w:p>
        </w:tc>
      </w:tr>
      <w:tr w:rsidR="0072624F" w:rsidTr="00DB09BD">
        <w:tc>
          <w:tcPr>
            <w:tcW w:w="1377" w:type="dxa"/>
          </w:tcPr>
          <w:p w:rsidR="0072624F" w:rsidRDefault="0072624F" w:rsidP="00DB09BD">
            <w:pPr>
              <w:jc w:val="center"/>
              <w:rPr>
                <w:b/>
              </w:rPr>
            </w:pPr>
            <w:r>
              <w:rPr>
                <w:b/>
              </w:rPr>
              <w:t>10</w:t>
            </w:r>
          </w:p>
        </w:tc>
        <w:tc>
          <w:tcPr>
            <w:tcW w:w="1378" w:type="dxa"/>
          </w:tcPr>
          <w:p w:rsidR="0072624F" w:rsidRDefault="0072624F" w:rsidP="00DB09BD">
            <w:pPr>
              <w:jc w:val="center"/>
              <w:rPr>
                <w:b/>
              </w:rPr>
            </w:pPr>
            <w:r>
              <w:rPr>
                <w:b/>
              </w:rPr>
              <w:t>8</w:t>
            </w:r>
          </w:p>
        </w:tc>
        <w:tc>
          <w:tcPr>
            <w:tcW w:w="1542" w:type="dxa"/>
          </w:tcPr>
          <w:p w:rsidR="0072624F" w:rsidRDefault="0072624F" w:rsidP="00DB09BD">
            <w:pPr>
              <w:jc w:val="center"/>
              <w:rPr>
                <w:b/>
              </w:rPr>
            </w:pPr>
            <w:r>
              <w:rPr>
                <w:b/>
              </w:rPr>
              <w:t>6</w:t>
            </w:r>
          </w:p>
        </w:tc>
        <w:tc>
          <w:tcPr>
            <w:tcW w:w="1623" w:type="dxa"/>
          </w:tcPr>
          <w:p w:rsidR="0072624F" w:rsidRDefault="0072624F" w:rsidP="00DB09BD">
            <w:pPr>
              <w:jc w:val="center"/>
              <w:rPr>
                <w:b/>
              </w:rPr>
            </w:pPr>
            <w:r>
              <w:rPr>
                <w:b/>
              </w:rPr>
              <w:t>4</w:t>
            </w:r>
          </w:p>
        </w:tc>
        <w:tc>
          <w:tcPr>
            <w:tcW w:w="2476" w:type="dxa"/>
          </w:tcPr>
          <w:p w:rsidR="0072624F" w:rsidRDefault="0072624F" w:rsidP="00DB09BD">
            <w:pPr>
              <w:jc w:val="center"/>
              <w:rPr>
                <w:b/>
              </w:rPr>
            </w:pPr>
            <w:r>
              <w:rPr>
                <w:b/>
              </w:rPr>
              <w:t>2</w:t>
            </w:r>
          </w:p>
        </w:tc>
        <w:tc>
          <w:tcPr>
            <w:tcW w:w="2202" w:type="dxa"/>
          </w:tcPr>
          <w:p w:rsidR="0072624F" w:rsidRDefault="0072624F" w:rsidP="00DB09BD">
            <w:pPr>
              <w:jc w:val="center"/>
              <w:rPr>
                <w:b/>
              </w:rPr>
            </w:pPr>
            <w:r>
              <w:rPr>
                <w:b/>
              </w:rPr>
              <w:t>0</w:t>
            </w:r>
          </w:p>
        </w:tc>
      </w:tr>
    </w:tbl>
    <w:p w:rsidR="0072624F" w:rsidRDefault="0072624F" w:rsidP="0072624F">
      <w:pPr>
        <w:pStyle w:val="Titre"/>
        <w:jc w:val="left"/>
        <w:rPr>
          <w:rFonts w:ascii="Times New Roman" w:hAnsi="Times New Roman"/>
          <w:sz w:val="24"/>
        </w:rPr>
      </w:pPr>
    </w:p>
    <w:p w:rsidR="0072624F" w:rsidRDefault="0072624F" w:rsidP="0072624F">
      <w:pPr>
        <w:pStyle w:val="Titre"/>
        <w:jc w:val="right"/>
        <w:rPr>
          <w:sz w:val="24"/>
        </w:rPr>
      </w:pPr>
    </w:p>
    <w:p w:rsidR="0072624F" w:rsidRDefault="0072624F"/>
    <w:sectPr w:rsidR="0072624F" w:rsidSect="009C1F7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568"/>
    <w:rsid w:val="001805EA"/>
    <w:rsid w:val="003676E8"/>
    <w:rsid w:val="004450CD"/>
    <w:rsid w:val="0072624F"/>
    <w:rsid w:val="009C1F75"/>
    <w:rsid w:val="00CA45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A45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4568"/>
    <w:rPr>
      <w:rFonts w:ascii="Tahoma" w:hAnsi="Tahoma" w:cs="Tahoma"/>
      <w:sz w:val="16"/>
      <w:szCs w:val="16"/>
    </w:rPr>
  </w:style>
  <w:style w:type="paragraph" w:styleId="Titre">
    <w:name w:val="Title"/>
    <w:basedOn w:val="Normal"/>
    <w:next w:val="Sous-titre"/>
    <w:link w:val="TitreCar"/>
    <w:qFormat/>
    <w:rsid w:val="0072624F"/>
    <w:pPr>
      <w:suppressAutoHyphens/>
      <w:spacing w:after="0" w:line="240" w:lineRule="auto"/>
      <w:jc w:val="center"/>
    </w:pPr>
    <w:rPr>
      <w:rFonts w:ascii="Comic Sans MS" w:eastAsia="Times New Roman" w:hAnsi="Comic Sans MS" w:cs="Times New Roman"/>
      <w:b/>
      <w:bCs/>
      <w:kern w:val="1"/>
      <w:sz w:val="20"/>
      <w:szCs w:val="36"/>
      <w:lang w:eastAsia="ar-SA"/>
    </w:rPr>
  </w:style>
  <w:style w:type="character" w:customStyle="1" w:styleId="TitreCar">
    <w:name w:val="Titre Car"/>
    <w:basedOn w:val="Policepardfaut"/>
    <w:link w:val="Titre"/>
    <w:rsid w:val="0072624F"/>
    <w:rPr>
      <w:rFonts w:ascii="Comic Sans MS" w:eastAsia="Times New Roman" w:hAnsi="Comic Sans MS" w:cs="Times New Roman"/>
      <w:b/>
      <w:bCs/>
      <w:kern w:val="1"/>
      <w:sz w:val="20"/>
      <w:szCs w:val="36"/>
      <w:lang w:eastAsia="ar-SA"/>
    </w:rPr>
  </w:style>
  <w:style w:type="paragraph" w:customStyle="1" w:styleId="BodyText2">
    <w:name w:val="Body Text 2"/>
    <w:basedOn w:val="Normal"/>
    <w:rsid w:val="0072624F"/>
    <w:pPr>
      <w:suppressAutoHyphens/>
      <w:spacing w:after="0" w:line="240" w:lineRule="auto"/>
    </w:pPr>
    <w:rPr>
      <w:rFonts w:ascii="Times New Roman" w:eastAsia="Times New Roman" w:hAnsi="Times New Roman" w:cs="Times New Roman"/>
      <w:kern w:val="1"/>
      <w:sz w:val="24"/>
      <w:szCs w:val="24"/>
      <w:lang w:eastAsia="ar-SA"/>
    </w:rPr>
  </w:style>
  <w:style w:type="paragraph" w:styleId="Sous-titre">
    <w:name w:val="Subtitle"/>
    <w:basedOn w:val="Normal"/>
    <w:next w:val="Normal"/>
    <w:link w:val="Sous-titreCar"/>
    <w:uiPriority w:val="11"/>
    <w:qFormat/>
    <w:rsid w:val="007262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2624F"/>
    <w:rPr>
      <w:rFonts w:asciiTheme="majorHAnsi" w:eastAsiaTheme="majorEastAsia" w:hAnsiTheme="majorHAnsi" w:cstheme="majorBidi"/>
      <w:i/>
      <w:iCs/>
      <w:color w:val="4F81BD" w:themeColor="accent1"/>
      <w:spacing w:val="15"/>
      <w:sz w:val="24"/>
      <w:szCs w:val="24"/>
    </w:rPr>
  </w:style>
  <w:style w:type="table" w:styleId="Grilledutableau">
    <w:name w:val="Table Grid"/>
    <w:basedOn w:val="TableauNormal"/>
    <w:uiPriority w:val="59"/>
    <w:rsid w:val="007262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A45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4568"/>
    <w:rPr>
      <w:rFonts w:ascii="Tahoma" w:hAnsi="Tahoma" w:cs="Tahoma"/>
      <w:sz w:val="16"/>
      <w:szCs w:val="16"/>
    </w:rPr>
  </w:style>
  <w:style w:type="paragraph" w:styleId="Titre">
    <w:name w:val="Title"/>
    <w:basedOn w:val="Normal"/>
    <w:next w:val="Sous-titre"/>
    <w:link w:val="TitreCar"/>
    <w:qFormat/>
    <w:rsid w:val="0072624F"/>
    <w:pPr>
      <w:suppressAutoHyphens/>
      <w:spacing w:after="0" w:line="240" w:lineRule="auto"/>
      <w:jc w:val="center"/>
    </w:pPr>
    <w:rPr>
      <w:rFonts w:ascii="Comic Sans MS" w:eastAsia="Times New Roman" w:hAnsi="Comic Sans MS" w:cs="Times New Roman"/>
      <w:b/>
      <w:bCs/>
      <w:kern w:val="1"/>
      <w:sz w:val="20"/>
      <w:szCs w:val="36"/>
      <w:lang w:eastAsia="ar-SA"/>
    </w:rPr>
  </w:style>
  <w:style w:type="character" w:customStyle="1" w:styleId="TitreCar">
    <w:name w:val="Titre Car"/>
    <w:basedOn w:val="Policepardfaut"/>
    <w:link w:val="Titre"/>
    <w:rsid w:val="0072624F"/>
    <w:rPr>
      <w:rFonts w:ascii="Comic Sans MS" w:eastAsia="Times New Roman" w:hAnsi="Comic Sans MS" w:cs="Times New Roman"/>
      <w:b/>
      <w:bCs/>
      <w:kern w:val="1"/>
      <w:sz w:val="20"/>
      <w:szCs w:val="36"/>
      <w:lang w:eastAsia="ar-SA"/>
    </w:rPr>
  </w:style>
  <w:style w:type="paragraph" w:customStyle="1" w:styleId="BodyText2">
    <w:name w:val="Body Text 2"/>
    <w:basedOn w:val="Normal"/>
    <w:rsid w:val="0072624F"/>
    <w:pPr>
      <w:suppressAutoHyphens/>
      <w:spacing w:after="0" w:line="240" w:lineRule="auto"/>
    </w:pPr>
    <w:rPr>
      <w:rFonts w:ascii="Times New Roman" w:eastAsia="Times New Roman" w:hAnsi="Times New Roman" w:cs="Times New Roman"/>
      <w:kern w:val="1"/>
      <w:sz w:val="24"/>
      <w:szCs w:val="24"/>
      <w:lang w:eastAsia="ar-SA"/>
    </w:rPr>
  </w:style>
  <w:style w:type="paragraph" w:styleId="Sous-titre">
    <w:name w:val="Subtitle"/>
    <w:basedOn w:val="Normal"/>
    <w:next w:val="Normal"/>
    <w:link w:val="Sous-titreCar"/>
    <w:uiPriority w:val="11"/>
    <w:qFormat/>
    <w:rsid w:val="007262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2624F"/>
    <w:rPr>
      <w:rFonts w:asciiTheme="majorHAnsi" w:eastAsiaTheme="majorEastAsia" w:hAnsiTheme="majorHAnsi" w:cstheme="majorBidi"/>
      <w:i/>
      <w:iCs/>
      <w:color w:val="4F81BD" w:themeColor="accent1"/>
      <w:spacing w:val="15"/>
      <w:sz w:val="24"/>
      <w:szCs w:val="24"/>
    </w:rPr>
  </w:style>
  <w:style w:type="table" w:styleId="Grilledutableau">
    <w:name w:val="Table Grid"/>
    <w:basedOn w:val="TableauNormal"/>
    <w:uiPriority w:val="59"/>
    <w:rsid w:val="007262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545</Words>
  <Characters>3003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Lycée du grésivaudan</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svt</dc:creator>
  <cp:lastModifiedBy>Aude</cp:lastModifiedBy>
  <cp:revision>3</cp:revision>
  <dcterms:created xsi:type="dcterms:W3CDTF">2013-05-15T11:16:00Z</dcterms:created>
  <dcterms:modified xsi:type="dcterms:W3CDTF">2013-05-15T11:17:00Z</dcterms:modified>
</cp:coreProperties>
</file>